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eastAsia="MS Mincho" w:cs="Arial"/>
          <w:b/>
          <w:sz w:val="24"/>
          <w:lang w:val="en-US" w:eastAsia="zh-CN" w:bidi="ar-SA"/>
        </w:rPr>
        <w:t>3GPP TSG-RAN WG4 Meeting # 10</w:t>
      </w:r>
      <w:r>
        <w:rPr>
          <w:rFonts w:hint="eastAsia" w:ascii="Arial" w:hAnsi="Arial" w:eastAsia="MS Mincho" w:cs="Arial"/>
          <w:b/>
          <w:sz w:val="24"/>
          <w:lang w:val="en-US" w:eastAsia="zh-CN" w:bidi="ar-SA"/>
        </w:rPr>
        <w:t>6</w:t>
      </w:r>
      <w:r>
        <w:rPr>
          <w:rFonts w:hint="eastAsia" w:ascii="Arial" w:hAnsi="Arial" w:cs="Arial"/>
          <w:b/>
          <w:sz w:val="24"/>
          <w:szCs w:val="24"/>
        </w:rPr>
        <w:t xml:space="preserve">                               R4-230120</w:t>
      </w:r>
      <w:bookmarkStart w:id="8" w:name="_GoBack"/>
      <w:bookmarkEnd w:id="8"/>
      <w:r>
        <w:rPr>
          <w:rFonts w:hint="eastAsia" w:ascii="Arial" w:hAnsi="Arial" w:cs="Arial"/>
          <w:b/>
          <w:sz w:val="24"/>
          <w:szCs w:val="24"/>
        </w:rPr>
        <w:t xml:space="preserve">4                          </w:t>
      </w:r>
    </w:p>
    <w:p>
      <w:pPr>
        <w:tabs>
          <w:tab w:val="left" w:pos="1985"/>
        </w:tabs>
        <w:spacing w:after="180"/>
        <w:ind w:left="1980" w:hanging="1980"/>
        <w:rPr>
          <w:rFonts w:ascii="Arial" w:hAnsi="Arial" w:eastAsia="MS Mincho" w:cs="Arial"/>
          <w:b/>
          <w:sz w:val="24"/>
          <w:szCs w:val="24"/>
          <w:lang w:val="en-US" w:eastAsia="en-US"/>
        </w:rPr>
      </w:pPr>
      <w:r>
        <w:rPr>
          <w:rFonts w:ascii="Arial" w:hAnsi="Arial" w:eastAsia="MS Mincho" w:cs="Arial"/>
          <w:b/>
          <w:sz w:val="24"/>
          <w:szCs w:val="24"/>
          <w:lang w:val="en-US" w:eastAsia="en-US"/>
        </w:rPr>
        <w:t xml:space="preserve">Athens, Greece, </w:t>
      </w:r>
      <w:r>
        <w:rPr>
          <w:rFonts w:ascii="Arial" w:hAnsi="Arial" w:eastAsia="MS Mincho" w:cs="Arial"/>
          <w:b/>
          <w:sz w:val="24"/>
          <w:szCs w:val="24"/>
          <w:lang w:eastAsia="en-US"/>
        </w:rPr>
        <w:t xml:space="preserve">27th February </w:t>
      </w:r>
      <w:r>
        <w:rPr>
          <w:rFonts w:hint="eastAsia" w:ascii="Arial" w:hAnsi="Arial" w:eastAsia="MS Mincho" w:cs="Arial"/>
          <w:b/>
          <w:sz w:val="24"/>
          <w:szCs w:val="24"/>
          <w:lang w:val="en-US" w:eastAsia="en-US"/>
        </w:rPr>
        <w:t>-</w:t>
      </w:r>
      <w:r>
        <w:rPr>
          <w:rFonts w:ascii="Arial" w:hAnsi="Arial" w:eastAsia="MS Mincho" w:cs="Arial"/>
          <w:b/>
          <w:sz w:val="24"/>
          <w:szCs w:val="24"/>
          <w:lang w:eastAsia="en-US"/>
        </w:rPr>
        <w:t xml:space="preserve"> 3rd March </w:t>
      </w:r>
      <w:r>
        <w:rPr>
          <w:rFonts w:hint="eastAsia" w:ascii="Arial" w:hAnsi="Arial" w:eastAsia="MS Mincho" w:cs="Arial"/>
          <w:b/>
          <w:sz w:val="24"/>
          <w:szCs w:val="24"/>
          <w:lang w:val="en-US" w:eastAsia="en-US"/>
        </w:rPr>
        <w:t>2023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9</w:t>
      </w:r>
      <w:r>
        <w:rPr>
          <w:rFonts w:hint="eastAsia" w:ascii="Arial" w:hAnsi="Arial" w:cs="Arial"/>
          <w:b/>
          <w:sz w:val="24"/>
          <w:szCs w:val="24"/>
        </w:rPr>
        <w:t>.</w:t>
      </w:r>
      <w:r>
        <w:rPr>
          <w:rFonts w:hint="eastAsia" w:ascii="Arial" w:hAnsi="Arial" w:cs="Arial"/>
          <w:b/>
          <w:sz w:val="24"/>
          <w:szCs w:val="24"/>
          <w:lang w:val="en-US" w:eastAsia="zh-CN"/>
        </w:rPr>
        <w:t>23</w:t>
      </w:r>
      <w:r>
        <w:rPr>
          <w:rFonts w:hint="eastAsia" w:ascii="Arial" w:hAnsi="Arial" w:cs="Arial"/>
          <w:b/>
          <w:sz w:val="24"/>
          <w:szCs w:val="24"/>
        </w:rPr>
        <w:t>.</w:t>
      </w:r>
      <w:r>
        <w:rPr>
          <w:rFonts w:hint="eastAsia" w:ascii="Arial" w:hAnsi="Arial" w:cs="Arial"/>
          <w:b/>
          <w:sz w:val="24"/>
          <w:szCs w:val="24"/>
          <w:lang w:val="en-US" w:eastAsia="zh-CN"/>
        </w:rPr>
        <w:t>5</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eastAsia="MS Mincho"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ascii="Arial" w:hAnsi="Arial" w:eastAsia="MS Mincho" w:cs="Arial"/>
          <w:b/>
          <w:sz w:val="24"/>
          <w:szCs w:val="24"/>
          <w:lang w:val="en-US" w:eastAsia="en-US"/>
        </w:rPr>
        <w:t>Discussion on the improvement on FR2 SCell/SCG setup/resume</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3"/>
        <w:tabs>
          <w:tab w:val="left" w:pos="567"/>
          <w:tab w:val="clear" w:pos="1985"/>
        </w:tabs>
        <w:adjustRightInd w:val="0"/>
        <w:ind w:left="510" w:hanging="510"/>
      </w:pPr>
      <w:r>
        <w:t>Introduction</w:t>
      </w:r>
    </w:p>
    <w:p>
      <w:pPr>
        <w:widowControl/>
        <w:spacing w:after="180"/>
        <w:jc w:val="both"/>
        <w:rPr>
          <w:rFonts w:eastAsia="宋体"/>
          <w:kern w:val="0"/>
          <w:sz w:val="20"/>
          <w:szCs w:val="20"/>
          <w:lang w:val="en-US" w:eastAsia="zh-CN"/>
        </w:rPr>
      </w:pPr>
      <w:r>
        <w:rPr>
          <w:rFonts w:eastAsia="宋体"/>
          <w:kern w:val="0"/>
          <w:sz w:val="20"/>
          <w:szCs w:val="20"/>
          <w:lang w:val="en-US" w:eastAsia="zh-CN"/>
        </w:rPr>
        <w:t>In the RAN4 #10</w:t>
      </w:r>
      <w:r>
        <w:rPr>
          <w:rFonts w:hint="eastAsia"/>
          <w:kern w:val="0"/>
          <w:sz w:val="20"/>
          <w:szCs w:val="20"/>
          <w:lang w:val="en-US" w:eastAsia="zh-CN"/>
        </w:rPr>
        <w:t>5</w:t>
      </w:r>
      <w:r>
        <w:rPr>
          <w:rFonts w:eastAsia="宋体"/>
          <w:kern w:val="0"/>
          <w:sz w:val="20"/>
          <w:szCs w:val="20"/>
          <w:lang w:val="en-US" w:eastAsia="zh-CN"/>
        </w:rPr>
        <w:t xml:space="preserve"> meeting, companies provided further analysis on the feasibility of the improved measurement.</w:t>
      </w:r>
      <w:r>
        <w:rPr>
          <w:rFonts w:hint="eastAsia" w:eastAsia="宋体"/>
          <w:kern w:val="0"/>
          <w:sz w:val="20"/>
          <w:szCs w:val="20"/>
          <w:lang w:val="en-US" w:eastAsia="zh-CN"/>
        </w:rPr>
        <w:t xml:space="preserve"> </w:t>
      </w:r>
      <w:r>
        <w:rPr>
          <w:rFonts w:eastAsia="宋体"/>
          <w:kern w:val="0"/>
          <w:sz w:val="20"/>
          <w:szCs w:val="20"/>
          <w:lang w:val="en-US" w:eastAsia="zh-CN"/>
        </w:rPr>
        <w:t>For the issues proposed in the last meeting, we would like to provide our views in this paper.</w:t>
      </w:r>
    </w:p>
    <w:p>
      <w:pPr>
        <w:pStyle w:val="53"/>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3"/>
      <w:bookmarkStart w:id="3" w:name="OLE_LINK20"/>
      <w:bookmarkStart w:id="4" w:name="OLE_LINK10"/>
      <w:r>
        <w:rPr>
          <w:rFonts w:hint="eastAsia" w:eastAsia="Times New Roman"/>
        </w:rPr>
        <w:t xml:space="preserve"> </w:t>
      </w:r>
    </w:p>
    <w:p>
      <w:r>
        <w:rPr>
          <w:rFonts w:hint="eastAsia"/>
        </w:rPr>
        <w:t>At the last meeting, moderator suggested to focus on critical issues, and the most important thing is to study whether/how to work on the validity issue and applicable scenarios. After confirming the introduction of enhanced measurement, other issues can be discussed. Based on the WF</w:t>
      </w:r>
      <w:r>
        <w:rPr>
          <w:rFonts w:hint="eastAsia"/>
          <w:lang w:val="en-US" w:eastAsia="zh-CN"/>
        </w:rPr>
        <w:t xml:space="preserve"> [1]</w:t>
      </w:r>
      <w:r>
        <w:rPr>
          <w:rFonts w:hint="eastAsia"/>
        </w:rPr>
        <w:t xml:space="preserve"> of </w:t>
      </w:r>
      <w:r>
        <w:rPr>
          <w:rFonts w:eastAsia="宋体"/>
          <w:kern w:val="0"/>
          <w:sz w:val="20"/>
          <w:szCs w:val="20"/>
          <w:lang w:val="en-US" w:eastAsia="zh-CN"/>
        </w:rPr>
        <w:t>the RAN4 #10</w:t>
      </w:r>
      <w:r>
        <w:rPr>
          <w:rFonts w:hint="eastAsia"/>
          <w:kern w:val="0"/>
          <w:sz w:val="20"/>
          <w:szCs w:val="20"/>
          <w:lang w:val="en-US" w:eastAsia="zh-CN"/>
        </w:rPr>
        <w:t>5</w:t>
      </w:r>
      <w:r>
        <w:rPr>
          <w:rFonts w:eastAsia="宋体"/>
          <w:kern w:val="0"/>
          <w:sz w:val="20"/>
          <w:szCs w:val="20"/>
          <w:lang w:val="en-US" w:eastAsia="zh-CN"/>
        </w:rPr>
        <w:t xml:space="preserve"> meeting</w:t>
      </w:r>
      <w:r>
        <w:rPr>
          <w:rFonts w:hint="eastAsia"/>
        </w:rPr>
        <w:t>, we discussed and expressed our views on the following issues.</w:t>
      </w:r>
    </w:p>
    <w:p>
      <w:pPr>
        <w:outlineLvl w:val="1"/>
        <w:rPr>
          <w:rFonts w:ascii="Arial" w:hAnsi="Arial" w:cs="Arial"/>
          <w:sz w:val="28"/>
          <w:szCs w:val="28"/>
          <w:lang w:val="en-US" w:eastAsia="en-US"/>
        </w:rPr>
      </w:pPr>
      <w:r>
        <w:rPr>
          <w:rFonts w:hint="eastAsia" w:ascii="Arial" w:hAnsi="Arial" w:cs="Arial"/>
          <w:sz w:val="28"/>
          <w:szCs w:val="28"/>
          <w:lang w:val="en-US" w:eastAsia="zh-CN"/>
        </w:rPr>
        <w:t>A</w:t>
      </w:r>
      <w:r>
        <w:rPr>
          <w:rFonts w:ascii="Arial" w:hAnsi="Arial" w:cs="Arial"/>
          <w:sz w:val="28"/>
          <w:szCs w:val="28"/>
          <w:lang w:val="sv-SE" w:eastAsia="ko-KR"/>
        </w:rPr>
        <w:t>vailability and validation</w:t>
      </w:r>
      <w:r>
        <w:rPr>
          <w:rFonts w:ascii="Arial" w:hAnsi="Arial" w:cs="Arial"/>
          <w:sz w:val="28"/>
          <w:szCs w:val="28"/>
        </w:rPr>
        <w:t xml:space="preserve"> of </w:t>
      </w:r>
      <w:r>
        <w:rPr>
          <w:rFonts w:ascii="Arial" w:hAnsi="Arial" w:cs="Arial"/>
          <w:sz w:val="28"/>
          <w:szCs w:val="28"/>
          <w:lang w:val="sv-SE" w:eastAsia="ko-KR"/>
        </w:rPr>
        <w:t>measurement results</w:t>
      </w:r>
    </w:p>
    <w:p>
      <w:pPr>
        <w:rPr>
          <w:rFonts w:hint="eastAsia"/>
          <w:lang w:val="en-US" w:eastAsia="zh-CN"/>
        </w:rPr>
      </w:pPr>
      <w:r>
        <w:rPr>
          <w:rFonts w:hint="eastAsia"/>
          <w:lang w:val="en-US" w:eastAsia="zh-CN"/>
        </w:rPr>
        <w:t>At the last meeting, companies agreed to study the following issues, that is, using measurement results obtained during IDLE/INACTIVE mode for measurements during RRC connection procedure [1].</w:t>
      </w:r>
    </w:p>
    <w:p>
      <w:pPr>
        <w:rPr>
          <w:rFonts w:hint="eastAsia"/>
          <w:lang w:val="en-US" w:eastAsia="zh-CN"/>
        </w:rPr>
      </w:pPr>
      <w:r>
        <w:rPr>
          <w:rFonts w:hint="eastAsia"/>
          <w:lang w:val="en-US" w:eastAsia="zh-CN"/>
        </w:rPr>
        <w:t xml:space="preserve">From the perspective of network, </w:t>
      </w:r>
      <w:r>
        <w:rPr>
          <w:rFonts w:hint="eastAsia"/>
          <w:lang w:val="en-US"/>
        </w:rPr>
        <w:t>validated</w:t>
      </w:r>
      <w:r>
        <w:rPr>
          <w:rFonts w:hint="eastAsia"/>
          <w:lang w:val="en-US" w:eastAsia="zh-CN"/>
        </w:rPr>
        <w:t xml:space="preserve"> EMR measurement information can avoid blindly configuring FR2 DC/CA for UE, and shorten the time spent after RRC </w:t>
      </w:r>
      <w:r>
        <w:rPr>
          <w:rFonts w:hint="eastAsia"/>
          <w:lang w:val="en-US"/>
        </w:rPr>
        <w:t>setup/resume</w:t>
      </w:r>
      <w:r>
        <w:rPr>
          <w:rFonts w:hint="eastAsia"/>
          <w:lang w:val="en-US" w:eastAsia="zh-CN"/>
        </w:rPr>
        <w:t xml:space="preserve"> and during connection mode. In general, validation of EMR measurement can be helpful for FR2 CA/DC configuration.</w:t>
      </w:r>
    </w:p>
    <w:p>
      <w:pPr>
        <w:spacing w:before="157" w:beforeLines="50" w:after="157" w:afterLines="50"/>
        <w:rPr>
          <w:rFonts w:hint="default"/>
          <w:sz w:val="22"/>
          <w:szCs w:val="22"/>
          <w:lang w:val="en-US" w:eastAsia="zh-CN"/>
        </w:rPr>
      </w:pPr>
      <w:r>
        <w:rPr>
          <w:rFonts w:hint="eastAsia"/>
          <w:b/>
          <w:bCs/>
          <w:lang w:val="en-US" w:eastAsia="zh-CN"/>
        </w:rPr>
        <w:t>Proposal 1: Validation of EMR measurement can be helpful for FR2 CA/DC configuration.</w:t>
      </w:r>
    </w:p>
    <w:p>
      <w:pPr>
        <w:rPr>
          <w:rFonts w:hint="eastAsia"/>
          <w:lang w:val="en-US" w:eastAsia="zh-CN"/>
        </w:rPr>
      </w:pPr>
      <w:r>
        <w:rPr>
          <w:rFonts w:hint="eastAsia"/>
          <w:lang w:val="en-US" w:eastAsia="zh-CN"/>
        </w:rPr>
        <w:t>In order to avoid NW using outdated measurement results, it is necessary to define the availability and validation of the results. This issue can be understood as RAN4's agreement on how long time the measurement can be regarded as valid for NW to use for setting up SCG/Scells. If the interval between the measurement and the report is not short enough, the measurement results are easily outdated, especially for FR2. Therefore, it is necessary to verify the availability and validation of EMR when T331 expires.</w:t>
      </w:r>
    </w:p>
    <w:p>
      <w:pPr>
        <w:widowControl/>
        <w:numPr>
          <w:ilvl w:val="0"/>
          <w:numId w:val="0"/>
        </w:numPr>
        <w:spacing w:before="157" w:beforeLines="50" w:after="157" w:afterLines="50"/>
        <w:jc w:val="left"/>
        <w:rPr>
          <w:b/>
          <w:bCs w:val="0"/>
          <w:color w:val="000000"/>
          <w:kern w:val="0"/>
          <w:sz w:val="20"/>
          <w:szCs w:val="20"/>
          <w:lang w:val="sv-SE" w:eastAsia="ko-KR"/>
        </w:rPr>
      </w:pPr>
      <w:r>
        <w:rPr>
          <w:rFonts w:hint="eastAsia"/>
          <w:b/>
          <w:bCs/>
          <w:lang w:val="en-US" w:eastAsia="zh-CN"/>
        </w:rPr>
        <w:t xml:space="preserve">Proposal 2: </w:t>
      </w:r>
      <w:r>
        <w:rPr>
          <w:rFonts w:hint="eastAsia"/>
          <w:b/>
          <w:bCs w:val="0"/>
          <w:iCs/>
          <w:color w:val="000000"/>
          <w:kern w:val="0"/>
          <w:sz w:val="20"/>
          <w:szCs w:val="20"/>
          <w:lang w:val="en-US" w:eastAsia="zh-CN"/>
        </w:rPr>
        <w:t>W</w:t>
      </w:r>
      <w:r>
        <w:rPr>
          <w:b/>
          <w:bCs w:val="0"/>
          <w:iCs/>
          <w:color w:val="000000"/>
          <w:kern w:val="0"/>
          <w:sz w:val="20"/>
          <w:szCs w:val="20"/>
          <w:lang w:val="sv-SE" w:eastAsia="ko-KR"/>
        </w:rPr>
        <w:t>hen UE returns to RRC connected mode,</w:t>
      </w:r>
      <w:r>
        <w:rPr>
          <w:b/>
          <w:bCs w:val="0"/>
          <w:color w:val="000000"/>
          <w:kern w:val="0"/>
          <w:sz w:val="20"/>
          <w:szCs w:val="20"/>
          <w:lang w:val="sv-SE" w:eastAsia="ko-KR"/>
        </w:rPr>
        <w:t xml:space="preserve"> </w:t>
      </w:r>
      <w:r>
        <w:rPr>
          <w:b/>
          <w:bCs w:val="0"/>
          <w:iCs/>
          <w:color w:val="000000"/>
          <w:kern w:val="0"/>
          <w:sz w:val="20"/>
          <w:szCs w:val="20"/>
          <w:lang w:val="sv-SE" w:eastAsia="ko-KR"/>
        </w:rPr>
        <w:t xml:space="preserve">if T331 has already expired, </w:t>
      </w:r>
      <w:r>
        <w:rPr>
          <w:b/>
          <w:bCs w:val="0"/>
          <w:color w:val="000000"/>
          <w:kern w:val="0"/>
          <w:sz w:val="20"/>
          <w:szCs w:val="20"/>
          <w:lang w:val="sv-SE" w:eastAsia="ko-KR"/>
        </w:rPr>
        <w:t xml:space="preserve">EMR validation can be considered so that NW can know if the EMR result is useful or not. </w:t>
      </w:r>
    </w:p>
    <w:p>
      <w:r>
        <w:rPr>
          <w:rFonts w:hint="eastAsia"/>
          <w:lang w:val="en-US" w:eastAsia="zh-CN"/>
        </w:rPr>
        <w:t xml:space="preserve">In our understanding, we can start from the time dimension and agree on how long NW can treat the measurement as effective for setting SCG/Cells. According to the discussion in the previous meetings, we agree with the proposal of some companies </w:t>
      </w:r>
      <w:r>
        <w:rPr>
          <w:rFonts w:hint="eastAsia"/>
          <w:highlight w:val="none"/>
          <w:lang w:val="en-US" w:eastAsia="zh-CN"/>
        </w:rPr>
        <w:t>[2</w:t>
      </w:r>
      <w:r>
        <w:rPr>
          <w:rFonts w:hint="eastAsia"/>
          <w:lang w:val="en-US" w:eastAsia="zh-CN"/>
        </w:rPr>
        <w:t>], that is, "available" means that the early measurement has been completed in UE, and the measurement configuration from NW is stored in the memory. "Validity" means that the early measurement results are currently available and can be evaluated by determining whether the measurement was performed in the last [X] seconds before the enhancement measurement was performed.</w:t>
      </w:r>
    </w:p>
    <w:p>
      <w:pPr>
        <w:numPr>
          <w:ilvl w:val="0"/>
          <w:numId w:val="0"/>
        </w:numPr>
        <w:spacing w:before="157" w:beforeLines="50" w:after="157" w:afterLines="50"/>
        <w:rPr>
          <w:b/>
          <w:bCs w:val="0"/>
          <w:color w:val="000000"/>
          <w:lang w:val="sv-SE" w:eastAsia="ko-KR"/>
        </w:rPr>
      </w:pPr>
      <w:r>
        <w:rPr>
          <w:rFonts w:hint="eastAsia"/>
          <w:b/>
          <w:bCs/>
          <w:lang w:val="en-US" w:eastAsia="zh-CN"/>
        </w:rPr>
        <w:t xml:space="preserve">Proposal 3: </w:t>
      </w:r>
      <w:r>
        <w:rPr>
          <w:b/>
          <w:bCs w:val="0"/>
          <w:color w:val="000000"/>
          <w:lang w:val="sv-SE" w:eastAsia="ko-KR"/>
        </w:rPr>
        <w:t xml:space="preserve">‘Available’ means that there have results stored in the memory after UE finished early measurement. And the ‘valid’ early measurement result can be assessed by determining whether the measurement was taken during the last [X] seconds before the enhanced measurements perform. </w:t>
      </w:r>
    </w:p>
    <w:p>
      <w:pPr>
        <w:outlineLvl w:val="1"/>
        <w:rPr>
          <w:rFonts w:hint="eastAsia" w:ascii="Arial" w:hAnsi="Arial" w:cs="Arial"/>
          <w:sz w:val="28"/>
          <w:szCs w:val="28"/>
          <w:lang w:val="sv-SE" w:eastAsia="ko-KR"/>
        </w:rPr>
      </w:pPr>
      <w:r>
        <w:rPr>
          <w:rFonts w:hint="eastAsia" w:ascii="Arial" w:hAnsi="Arial" w:cs="Arial"/>
          <w:sz w:val="28"/>
          <w:szCs w:val="28"/>
          <w:lang w:val="en-US" w:eastAsia="zh-CN"/>
        </w:rPr>
        <w:t>S</w:t>
      </w:r>
      <w:r>
        <w:rPr>
          <w:rFonts w:hint="eastAsia" w:ascii="Arial" w:hAnsi="Arial" w:cs="Arial"/>
          <w:sz w:val="28"/>
          <w:szCs w:val="28"/>
          <w:lang w:val="sv-SE" w:eastAsia="ko-KR"/>
        </w:rPr>
        <w:t>cope of the study regarding CA/DC</w:t>
      </w:r>
    </w:p>
    <w:p>
      <w:pPr>
        <w:numPr>
          <w:ilvl w:val="0"/>
          <w:numId w:val="0"/>
        </w:numPr>
        <w:spacing w:before="157" w:beforeLines="50" w:after="157" w:afterLines="50"/>
        <w:rPr>
          <w:rFonts w:hint="default"/>
          <w:bCs/>
          <w:color w:val="000000"/>
          <w:highlight w:val="none"/>
          <w:lang w:val="en-US" w:eastAsia="zh-CN"/>
        </w:rPr>
      </w:pPr>
      <w:r>
        <w:rPr>
          <w:rFonts w:hint="default"/>
          <w:bCs/>
          <w:color w:val="000000"/>
          <w:highlight w:val="none"/>
          <w:lang w:val="en-US" w:eastAsia="zh-CN"/>
        </w:rPr>
        <w:t>According to WID</w:t>
      </w:r>
      <w:r>
        <w:rPr>
          <w:rFonts w:hint="eastAsia"/>
          <w:bCs/>
          <w:color w:val="000000"/>
          <w:highlight w:val="none"/>
          <w:lang w:val="en-US" w:eastAsia="zh-CN"/>
        </w:rPr>
        <w:t xml:space="preserve"> [3]</w:t>
      </w:r>
      <w:r>
        <w:rPr>
          <w:rFonts w:hint="default"/>
          <w:bCs/>
          <w:color w:val="000000"/>
          <w:highlight w:val="none"/>
          <w:lang w:val="en-US" w:eastAsia="zh-CN"/>
        </w:rPr>
        <w:t>, R</w:t>
      </w:r>
      <w:r>
        <w:rPr>
          <w:rFonts w:hint="eastAsia"/>
          <w:bCs/>
          <w:color w:val="000000"/>
          <w:highlight w:val="none"/>
          <w:lang w:val="en-US" w:eastAsia="zh-CN"/>
        </w:rPr>
        <w:t>el</w:t>
      </w:r>
      <w:r>
        <w:rPr>
          <w:rFonts w:hint="default"/>
          <w:bCs/>
          <w:color w:val="000000"/>
          <w:highlight w:val="none"/>
          <w:lang w:val="en-US" w:eastAsia="zh-CN"/>
        </w:rPr>
        <w:t>-18 Further NR Mobility Enhancements work item</w:t>
      </w:r>
      <w:r>
        <w:rPr>
          <w:rFonts w:hint="eastAsia"/>
          <w:bCs/>
          <w:color w:val="000000"/>
          <w:highlight w:val="none"/>
          <w:lang w:val="en-US" w:eastAsia="zh-CN"/>
        </w:rPr>
        <w:t xml:space="preserve"> </w:t>
      </w:r>
      <w:r>
        <w:rPr>
          <w:rFonts w:hint="default"/>
          <w:bCs/>
          <w:color w:val="000000"/>
          <w:highlight w:val="none"/>
          <w:lang w:val="en-US" w:eastAsia="zh-CN"/>
        </w:rPr>
        <w:t>is the research of FR2 SCG/SCell measurement acquisition program</w:t>
      </w:r>
      <w:r>
        <w:rPr>
          <w:rFonts w:hint="eastAsia"/>
          <w:bCs/>
          <w:color w:val="000000"/>
          <w:highlight w:val="none"/>
          <w:lang w:val="en-US" w:eastAsia="zh-CN"/>
        </w:rPr>
        <w:t xml:space="preserve"> and </w:t>
      </w:r>
      <w:r>
        <w:rPr>
          <w:rFonts w:hint="default"/>
          <w:bCs/>
          <w:color w:val="000000"/>
          <w:highlight w:val="none"/>
          <w:lang w:val="en-US" w:eastAsia="zh-CN"/>
        </w:rPr>
        <w:t>the improvement on FR2</w:t>
      </w:r>
      <w:r>
        <w:rPr>
          <w:rFonts w:hint="eastAsia"/>
          <w:bCs/>
          <w:color w:val="000000"/>
          <w:highlight w:val="none"/>
          <w:lang w:val="en-US" w:eastAsia="zh-CN"/>
        </w:rPr>
        <w:t xml:space="preserve"> </w:t>
      </w:r>
      <w:r>
        <w:rPr>
          <w:rFonts w:hint="default"/>
          <w:bCs/>
          <w:color w:val="000000"/>
          <w:highlight w:val="none"/>
          <w:lang w:val="en-US" w:eastAsia="zh-CN"/>
        </w:rPr>
        <w:t>DC/CA SCell/SCG setup/resume</w:t>
      </w:r>
      <w:r>
        <w:rPr>
          <w:rFonts w:hint="eastAsia"/>
          <w:bCs/>
          <w:color w:val="000000"/>
          <w:highlight w:val="none"/>
          <w:lang w:val="en-US" w:eastAsia="zh-CN"/>
        </w:rPr>
        <w:t>. Our understanding on</w:t>
      </w:r>
      <w:r>
        <w:rPr>
          <w:rFonts w:hint="default"/>
          <w:bCs/>
          <w:color w:val="000000"/>
          <w:highlight w:val="none"/>
          <w:lang w:val="en-US" w:eastAsia="zh-CN"/>
        </w:rPr>
        <w:t xml:space="preserve"> the main target</w:t>
      </w:r>
      <w:r>
        <w:rPr>
          <w:rFonts w:hint="eastAsia"/>
          <w:bCs/>
          <w:color w:val="000000"/>
          <w:highlight w:val="none"/>
          <w:lang w:val="en-US" w:eastAsia="zh-CN"/>
        </w:rPr>
        <w:t>ing</w:t>
      </w:r>
      <w:r>
        <w:rPr>
          <w:rFonts w:hint="default"/>
          <w:bCs/>
          <w:color w:val="000000"/>
          <w:highlight w:val="none"/>
          <w:lang w:val="en-US" w:eastAsia="zh-CN"/>
        </w:rPr>
        <w:t xml:space="preserve"> DC/CA scenario</w:t>
      </w:r>
      <w:r>
        <w:rPr>
          <w:rFonts w:hint="eastAsia"/>
          <w:bCs/>
          <w:color w:val="000000"/>
          <w:highlight w:val="none"/>
          <w:lang w:val="en-US" w:eastAsia="zh-CN"/>
        </w:rPr>
        <w:t>s</w:t>
      </w:r>
      <w:r>
        <w:rPr>
          <w:rFonts w:hint="default"/>
          <w:bCs/>
          <w:color w:val="000000"/>
          <w:highlight w:val="none"/>
          <w:lang w:val="en-US" w:eastAsia="zh-CN"/>
        </w:rPr>
        <w:t xml:space="preserve"> </w:t>
      </w:r>
      <w:r>
        <w:rPr>
          <w:rFonts w:hint="eastAsia"/>
          <w:bCs/>
          <w:color w:val="000000"/>
          <w:highlight w:val="none"/>
          <w:lang w:val="en-US" w:eastAsia="zh-CN"/>
        </w:rPr>
        <w:t>are</w:t>
      </w:r>
      <w:r>
        <w:rPr>
          <w:rFonts w:hint="default"/>
          <w:bCs/>
          <w:color w:val="000000"/>
          <w:highlight w:val="none"/>
          <w:lang w:val="en-US" w:eastAsia="zh-CN"/>
        </w:rPr>
        <w:t xml:space="preserve"> to have FR1 </w:t>
      </w:r>
      <w:r>
        <w:rPr>
          <w:rFonts w:hint="eastAsia"/>
          <w:bCs/>
          <w:color w:val="000000"/>
          <w:highlight w:val="none"/>
          <w:lang w:val="en-US" w:eastAsia="zh-CN"/>
        </w:rPr>
        <w:t>with</w:t>
      </w:r>
      <w:r>
        <w:rPr>
          <w:rFonts w:hint="default"/>
          <w:bCs/>
          <w:color w:val="000000"/>
          <w:highlight w:val="none"/>
          <w:lang w:val="en-US" w:eastAsia="zh-CN"/>
        </w:rPr>
        <w:t>in the Pcell</w:t>
      </w:r>
      <w:r>
        <w:rPr>
          <w:rFonts w:hint="eastAsia"/>
          <w:bCs/>
          <w:color w:val="000000"/>
          <w:highlight w:val="none"/>
          <w:lang w:val="en-US" w:eastAsia="zh-CN"/>
        </w:rPr>
        <w:t xml:space="preserve"> which is when UE camps on a FR1 cell and setup the SCG /Scell within FR2.</w:t>
      </w:r>
      <w:r>
        <w:rPr>
          <w:rFonts w:hint="default"/>
          <w:bCs/>
          <w:color w:val="000000"/>
          <w:highlight w:val="none"/>
          <w:lang w:val="en-US" w:eastAsia="zh-CN"/>
        </w:rPr>
        <w:t xml:space="preserv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pStyle w:val="32"/>
              <w:numPr>
                <w:ilvl w:val="0"/>
                <w:numId w:val="0"/>
              </w:numPr>
              <w:spacing w:after="0" w:line="240" w:lineRule="auto"/>
              <w:rPr>
                <w:iCs/>
              </w:rPr>
            </w:pPr>
            <w:r>
              <w:rPr>
                <w:i/>
                <w:iCs/>
              </w:rPr>
              <w:t>To study the following, with completion targeted by RAN#98 meeting [RAN4]:</w:t>
            </w:r>
          </w:p>
          <w:p>
            <w:pPr>
              <w:numPr>
                <w:ilvl w:val="0"/>
                <w:numId w:val="2"/>
              </w:numPr>
              <w:spacing w:after="160" w:line="259" w:lineRule="auto"/>
              <w:rPr>
                <w:iCs/>
              </w:rPr>
            </w:pPr>
            <w:bookmarkStart w:id="5" w:name="_Hlk118622616"/>
            <w:r>
              <w:t xml:space="preserve">The </w:t>
            </w:r>
            <w:bookmarkStart w:id="6" w:name="_Hlk118629039"/>
            <w:r>
              <w:rPr>
                <w:i/>
                <w:iCs/>
              </w:rPr>
              <w:t>impact of FR2 RRM mobility measurement acquisition and reporting on FR2 SCell/SCG setup/resume delay for a UE connecting from idle/inactive mode</w:t>
            </w:r>
            <w:bookmarkEnd w:id="5"/>
            <w:bookmarkEnd w:id="6"/>
            <w:r>
              <w:rPr>
                <w:i/>
                <w:iCs/>
              </w:rPr>
              <w:t xml:space="preserve">. </w:t>
            </w:r>
          </w:p>
          <w:p>
            <w:pPr>
              <w:numPr>
                <w:ilvl w:val="0"/>
                <w:numId w:val="2"/>
              </w:numPr>
              <w:spacing w:after="160" w:line="259" w:lineRule="auto"/>
            </w:pPr>
            <w:r>
              <w:rPr>
                <w:i/>
                <w:iCs/>
              </w:rPr>
              <w:t xml:space="preserve">The level of feasible improvement in </w:t>
            </w:r>
            <w:bookmarkStart w:id="7" w:name="_Hlk118622859"/>
            <w:r>
              <w:rPr>
                <w:i/>
                <w:iCs/>
              </w:rPr>
              <w:t xml:space="preserve">FR2 SCell/SCG setup delay </w:t>
            </w:r>
            <w:bookmarkEnd w:id="7"/>
            <w:r>
              <w:rPr>
                <w:i/>
                <w:iCs/>
              </w:rPr>
              <w:t>from defining new UE measurement procedures and RRM core requirements, and whether additional information from the network would help the UE to perform those measurements effectively. The following sequence of events should be assumed.</w:t>
            </w:r>
          </w:p>
          <w:p>
            <w:pPr>
              <w:numPr>
                <w:ilvl w:val="2"/>
                <w:numId w:val="3"/>
              </w:numPr>
              <w:spacing w:after="160" w:line="259" w:lineRule="auto"/>
            </w:pPr>
            <w:r>
              <w:rPr>
                <w:i/>
                <w:iCs/>
              </w:rPr>
              <w:t>The UE initiates and performs improved measurements when it requests RRC connection setup/resume.</w:t>
            </w:r>
          </w:p>
          <w:p>
            <w:pPr>
              <w:numPr>
                <w:ilvl w:val="2"/>
                <w:numId w:val="3"/>
              </w:numPr>
              <w:spacing w:after="160" w:line="259" w:lineRule="auto"/>
            </w:pPr>
            <w:r>
              <w:rPr>
                <w:i/>
                <w:iCs/>
              </w:rPr>
              <w:t>After acquiring those improved measurements, the UE subsequently reports those measurements to the network to support SCell/SCG setup.</w:t>
            </w:r>
          </w:p>
        </w:tc>
      </w:tr>
    </w:tbl>
    <w:p>
      <w:pPr>
        <w:numPr>
          <w:ilvl w:val="0"/>
          <w:numId w:val="0"/>
        </w:numPr>
        <w:rPr>
          <w:lang w:val="en-GB"/>
        </w:rPr>
      </w:pPr>
      <w:r>
        <w:rPr>
          <w:rFonts w:hint="eastAsia"/>
          <w:bCs/>
          <w:color w:val="000000"/>
          <w:lang w:val="en-US" w:eastAsia="zh-CN"/>
        </w:rPr>
        <w:t>According to the requirements of SCell activation delay, because cell detection and L1-RSRP measurement need to be performed first, the scell activation delay of the first cell in the FR2 band in the unknown cell is much longer than that of the non-first SCell or the known cell on that FR2 band case. For the difference of activation delay in different scenarios, please refer to the specific calculation is reproduced as follows [</w:t>
      </w:r>
      <w:r>
        <w:rPr>
          <w:rFonts w:hint="default" w:ascii="Times New Roman" w:hAnsi="Times New Roman" w:cs="Times New Roman" w:eastAsiaTheme="minorEastAsia"/>
          <w:bCs/>
          <w:sz w:val="21"/>
          <w:szCs w:val="21"/>
          <w:highlight w:val="none"/>
          <w:lang w:val="en-US" w:eastAsia="zh-CN"/>
        </w:rPr>
        <w:t>4</w:t>
      </w:r>
      <w:r>
        <w:rPr>
          <w:rFonts w:hint="eastAsia"/>
          <w:bCs/>
          <w:color w:val="000000"/>
          <w:lang w:val="en-US" w:eastAsia="zh-CN"/>
        </w:rPr>
        <w:t>].</w:t>
      </w:r>
    </w:p>
    <w:p>
      <w:pPr>
        <w:jc w:val="center"/>
        <w:rPr>
          <w:lang w:val="en-GB"/>
        </w:rPr>
      </w:pPr>
      <w:r>
        <w:rPr>
          <w:rFonts w:hint="eastAsia"/>
          <w:lang w:val="en-GB"/>
        </w:rPr>
        <w:t>T</w:t>
      </w:r>
      <w:r>
        <w:rPr>
          <w:lang w:val="en-GB"/>
        </w:rPr>
        <w:t>able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4"/>
        <w:gridCol w:w="4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lang w:val="en-GB"/>
              </w:rPr>
            </w:pPr>
            <w:r>
              <w:rPr>
                <w:rFonts w:hint="eastAsia"/>
                <w:lang w:val="en-GB"/>
              </w:rPr>
              <w:t>S</w:t>
            </w:r>
            <w:r>
              <w:rPr>
                <w:lang w:val="en-GB"/>
              </w:rPr>
              <w:t>cenarios</w:t>
            </w:r>
          </w:p>
        </w:tc>
        <w:tc>
          <w:tcPr>
            <w:tcW w:w="4815" w:type="dxa"/>
          </w:tcPr>
          <w:p>
            <w:pPr>
              <w:rPr>
                <w:lang w:val="en-GB"/>
              </w:rPr>
            </w:pPr>
            <w:r>
              <w:t>T</w:t>
            </w:r>
            <w:r>
              <w:rPr>
                <w:vertAlign w:val="subscript"/>
              </w:rPr>
              <w:t>activation_time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pPr>
              <w:rPr>
                <w:lang w:val="en-GB"/>
              </w:rPr>
            </w:pPr>
            <w:r>
              <w:t>there is at least one active serving cell on that FR2 band (other conditions are omitted here)</w:t>
            </w:r>
          </w:p>
        </w:tc>
        <w:tc>
          <w:tcPr>
            <w:tcW w:w="4815" w:type="dxa"/>
          </w:tcPr>
          <w:p>
            <w:pPr>
              <w:rPr>
                <w:lang w:val="en-GB"/>
              </w:rPr>
            </w:pPr>
            <w:r>
              <w:t>T</w:t>
            </w:r>
            <w:r>
              <w:rPr>
                <w:vertAlign w:val="subscript"/>
              </w:rPr>
              <w:t>FirstSSB</w:t>
            </w:r>
            <w:r>
              <w:t>+ 5ms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r>
              <w:t xml:space="preserve">First scell on the FR2 band and the cell is </w:t>
            </w:r>
            <w:r>
              <w:rPr>
                <w:b/>
                <w:bCs/>
              </w:rPr>
              <w:t>known</w:t>
            </w:r>
          </w:p>
          <w:p>
            <w:r>
              <w:rPr>
                <w:rFonts w:hint="eastAsia"/>
              </w:rPr>
              <w:t>(</w:t>
            </w:r>
            <w:r>
              <w:t>take using semi-persistent CSI-RS for CSI reporting as an example)</w:t>
            </w:r>
          </w:p>
        </w:tc>
        <w:tc>
          <w:tcPr>
            <w:tcW w:w="4815" w:type="dxa"/>
          </w:tcPr>
          <w:p>
            <w:r>
              <w:t>3ms + max(T</w:t>
            </w:r>
            <w:r>
              <w:rPr>
                <w:vertAlign w:val="subscript"/>
              </w:rPr>
              <w:t>uncertainty_MAC</w:t>
            </w:r>
            <w:r>
              <w:t xml:space="preserve"> + T</w:t>
            </w:r>
            <w:r>
              <w:rPr>
                <w:vertAlign w:val="subscript"/>
              </w:rPr>
              <w:t>FineTiming</w:t>
            </w:r>
            <w:r>
              <w:t xml:space="preserve"> + 2ms, T</w:t>
            </w:r>
            <w:r>
              <w:rPr>
                <w:vertAlign w:val="subscript"/>
              </w:rPr>
              <w:t>uncertainty_SP</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4" w:type="dxa"/>
          </w:tcPr>
          <w:p>
            <w:r>
              <w:t xml:space="preserve">First scell on that FR2 band and the cell is </w:t>
            </w:r>
            <w:r>
              <w:rPr>
                <w:b/>
                <w:bCs/>
              </w:rPr>
              <w:t>unknown</w:t>
            </w:r>
          </w:p>
          <w:p>
            <w:r>
              <w:rPr>
                <w:rFonts w:hint="eastAsia"/>
              </w:rPr>
              <w:t>(</w:t>
            </w:r>
            <w:r>
              <w:t>take using semi-persistent CSI-RS for CSI reporting as an example)</w:t>
            </w:r>
          </w:p>
        </w:tc>
        <w:tc>
          <w:tcPr>
            <w:tcW w:w="4815" w:type="dxa"/>
          </w:tcPr>
          <w:p>
            <w:r>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tc>
      </w:tr>
    </w:tbl>
    <w:p>
      <w:pPr>
        <w:numPr>
          <w:ilvl w:val="0"/>
          <w:numId w:val="0"/>
        </w:numPr>
        <w:spacing w:before="0" w:beforeLines="-2147483648" w:after="0" w:afterLines="-2147483648"/>
        <w:rPr>
          <w:rFonts w:hint="eastAsia"/>
          <w:lang w:val="en-US" w:eastAsia="zh-CN"/>
        </w:rPr>
      </w:pPr>
      <w:r>
        <w:rPr>
          <w:rFonts w:hint="eastAsia"/>
          <w:bCs/>
          <w:color w:val="000000"/>
          <w:lang w:val="en-US" w:eastAsia="zh-CN"/>
        </w:rPr>
        <w:t xml:space="preserve">Compared with the activation delay of the first cell in the FR2 band, the activation delay of other SCells in the same band does not significantly increase the activation delay. As to whether intra-band CA is </w:t>
      </w:r>
      <w:r>
        <w:rPr>
          <w:bCs/>
          <w:color w:val="000000"/>
          <w:lang w:val="sv-SE" w:eastAsia="ko-KR"/>
        </w:rPr>
        <w:t>one of the target scenarios</w:t>
      </w:r>
      <w:r>
        <w:rPr>
          <w:rFonts w:hint="eastAsia"/>
          <w:bCs/>
          <w:color w:val="000000"/>
          <w:lang w:val="en-US" w:eastAsia="zh-CN"/>
        </w:rPr>
        <w:t xml:space="preserve">, our understanding is the activation delay of FR2 intra-band CA is already very short, so it can be temporarily ignored. Therefore, </w:t>
      </w:r>
      <w:r>
        <w:rPr>
          <w:rFonts w:hint="eastAsia"/>
          <w:lang w:val="en-US" w:eastAsia="zh-CN"/>
        </w:rPr>
        <w:t>t</w:t>
      </w:r>
      <w:r>
        <w:t>he normative work should focus on</w:t>
      </w:r>
      <w:r>
        <w:rPr>
          <w:rFonts w:hint="eastAsia"/>
          <w:lang w:val="en-US" w:eastAsia="zh-CN"/>
        </w:rPr>
        <w:t xml:space="preserve"> </w:t>
      </w:r>
      <w:r>
        <w:rPr>
          <w:rFonts w:eastAsia="Calibri"/>
          <w:kern w:val="0"/>
          <w:sz w:val="20"/>
          <w:szCs w:val="22"/>
          <w:lang w:val="en-GB" w:eastAsia="en-US"/>
        </w:rPr>
        <w:t>FR1 + FR2 CA/DC</w:t>
      </w:r>
      <w:r>
        <w:rPr>
          <w:rFonts w:hint="eastAsia"/>
          <w:kern w:val="0"/>
          <w:sz w:val="20"/>
          <w:szCs w:val="22"/>
          <w:lang w:val="en-US" w:eastAsia="zh-CN"/>
        </w:rPr>
        <w:t xml:space="preserve"> </w:t>
      </w:r>
      <w:r>
        <w:t>scenario</w:t>
      </w:r>
      <w:r>
        <w:rPr>
          <w:rFonts w:hint="eastAsia"/>
          <w:kern w:val="0"/>
          <w:sz w:val="20"/>
          <w:szCs w:val="22"/>
          <w:lang w:val="en-US" w:eastAsia="zh-CN"/>
        </w:rPr>
        <w:t>.</w:t>
      </w:r>
      <w:r>
        <w:t xml:space="preserve"> </w:t>
      </w:r>
      <w:r>
        <w:rPr>
          <w:rFonts w:hint="default"/>
          <w:b/>
          <w:bCs w:val="0"/>
          <w:color w:val="000000"/>
          <w:highlight w:val="none"/>
          <w:lang w:val="en-US" w:eastAsia="zh-CN"/>
        </w:rPr>
        <w:t xml:space="preserve"> </w:t>
      </w:r>
    </w:p>
    <w:p>
      <w:pPr>
        <w:spacing w:before="157" w:beforeLines="50" w:after="157" w:afterLines="50"/>
        <w:outlineLvl w:val="9"/>
        <w:rPr>
          <w:b/>
          <w:bCs/>
        </w:rPr>
      </w:pPr>
      <w:r>
        <w:rPr>
          <w:b/>
          <w:bCs/>
          <w:lang w:eastAsia="zh-CN"/>
        </w:rPr>
        <w:t xml:space="preserve">Proposal </w:t>
      </w:r>
      <w:r>
        <w:rPr>
          <w:rFonts w:hint="eastAsia"/>
          <w:b/>
          <w:bCs/>
          <w:lang w:val="en-US" w:eastAsia="zh-CN"/>
        </w:rPr>
        <w:t>5</w:t>
      </w:r>
      <w:r>
        <w:rPr>
          <w:b/>
          <w:bCs/>
          <w:lang w:eastAsia="zh-CN"/>
        </w:rPr>
        <w:t>: The normative work should focus on</w:t>
      </w:r>
      <w:r>
        <w:rPr>
          <w:rFonts w:hint="eastAsia"/>
          <w:b/>
          <w:bCs/>
          <w:lang w:val="en-US" w:eastAsia="zh-CN"/>
        </w:rPr>
        <w:t xml:space="preserve"> </w:t>
      </w:r>
      <w:r>
        <w:rPr>
          <w:b/>
          <w:bCs/>
          <w:lang w:val="en-GB" w:eastAsia="zh-CN"/>
        </w:rPr>
        <w:t>FR1 + FR2 CA/DC</w:t>
      </w:r>
      <w:r>
        <w:rPr>
          <w:rFonts w:hint="eastAsia"/>
          <w:b/>
          <w:bCs/>
          <w:lang w:val="en-US" w:eastAsia="zh-CN"/>
        </w:rPr>
        <w:t xml:space="preserve"> </w:t>
      </w:r>
      <w:r>
        <w:rPr>
          <w:b/>
          <w:bCs/>
          <w:lang w:eastAsia="zh-CN"/>
        </w:rPr>
        <w:t>scenario</w:t>
      </w:r>
      <w:r>
        <w:rPr>
          <w:rFonts w:hint="eastAsia"/>
          <w:b/>
          <w:bCs/>
          <w:lang w:val="en-US" w:eastAsia="zh-CN"/>
        </w:rPr>
        <w:t>.</w:t>
      </w:r>
    </w:p>
    <w:bookmarkEnd w:id="1"/>
    <w:bookmarkEnd w:id="2"/>
    <w:bookmarkEnd w:id="3"/>
    <w:bookmarkEnd w:id="4"/>
    <w:p>
      <w:pPr>
        <w:pStyle w:val="53"/>
        <w:tabs>
          <w:tab w:val="left" w:pos="567"/>
          <w:tab w:val="clear" w:pos="1985"/>
        </w:tabs>
        <w:adjustRightInd w:val="0"/>
        <w:ind w:left="510" w:hanging="510"/>
      </w:pPr>
      <w:r>
        <w:t>Conclusions</w:t>
      </w:r>
    </w:p>
    <w:p>
      <w:pPr>
        <w:adjustRightInd w:val="0"/>
        <w:snapToGrid w:val="0"/>
        <w:spacing w:before="180" w:after="120"/>
      </w:pPr>
      <w:r>
        <w:rPr>
          <w:rFonts w:hint="eastAsia"/>
        </w:rPr>
        <w:t xml:space="preserve">In this </w:t>
      </w:r>
      <w:r>
        <w:t>paper,</w:t>
      </w:r>
      <w:r>
        <w:rPr>
          <w:rFonts w:hint="eastAsia"/>
        </w:rPr>
        <w:t xml:space="preserve"> </w:t>
      </w:r>
      <w:r>
        <w:t>we have some discussion on improvement of FR2 SCell/SCG setup/resume. We have the following proposals:</w:t>
      </w:r>
    </w:p>
    <w:p>
      <w:pPr>
        <w:spacing w:beforeLines="0" w:after="157" w:afterLines="50"/>
        <w:rPr>
          <w:rFonts w:hint="eastAsia"/>
          <w:b/>
          <w:bCs/>
          <w:lang w:val="en-US" w:eastAsia="zh-CN"/>
        </w:rPr>
      </w:pPr>
      <w:r>
        <w:rPr>
          <w:rFonts w:hint="eastAsia"/>
          <w:b/>
          <w:bCs/>
          <w:lang w:val="en-US" w:eastAsia="zh-CN"/>
        </w:rPr>
        <w:t>Proposal 1: Validation of EMR measurement can be helpful for FR2 CA/DC configuration.</w:t>
      </w:r>
    </w:p>
    <w:p>
      <w:pPr>
        <w:spacing w:beforeLines="0" w:after="157" w:afterLines="50"/>
        <w:rPr>
          <w:b/>
          <w:bCs w:val="0"/>
          <w:color w:val="000000"/>
          <w:kern w:val="0"/>
          <w:sz w:val="20"/>
          <w:szCs w:val="20"/>
          <w:lang w:val="sv-SE" w:eastAsia="ko-KR"/>
        </w:rPr>
      </w:pPr>
      <w:r>
        <w:rPr>
          <w:rFonts w:hint="eastAsia"/>
          <w:b/>
          <w:bCs/>
          <w:lang w:val="en-US" w:eastAsia="zh-CN"/>
        </w:rPr>
        <w:t xml:space="preserve">Proposal 2: </w:t>
      </w:r>
      <w:r>
        <w:rPr>
          <w:rFonts w:hint="eastAsia"/>
          <w:b/>
          <w:bCs w:val="0"/>
          <w:iCs/>
          <w:color w:val="000000"/>
          <w:kern w:val="0"/>
          <w:sz w:val="20"/>
          <w:szCs w:val="20"/>
          <w:lang w:val="en-US" w:eastAsia="zh-CN"/>
        </w:rPr>
        <w:t>W</w:t>
      </w:r>
      <w:r>
        <w:rPr>
          <w:b/>
          <w:bCs w:val="0"/>
          <w:iCs/>
          <w:color w:val="000000"/>
          <w:kern w:val="0"/>
          <w:sz w:val="20"/>
          <w:szCs w:val="20"/>
          <w:lang w:val="sv-SE" w:eastAsia="ko-KR"/>
        </w:rPr>
        <w:t>hen UE returns to RRC connected mode,</w:t>
      </w:r>
      <w:r>
        <w:rPr>
          <w:b/>
          <w:bCs w:val="0"/>
          <w:color w:val="000000"/>
          <w:kern w:val="0"/>
          <w:sz w:val="20"/>
          <w:szCs w:val="20"/>
          <w:lang w:val="sv-SE" w:eastAsia="ko-KR"/>
        </w:rPr>
        <w:t xml:space="preserve"> </w:t>
      </w:r>
      <w:r>
        <w:rPr>
          <w:b/>
          <w:bCs w:val="0"/>
          <w:iCs/>
          <w:color w:val="000000"/>
          <w:kern w:val="0"/>
          <w:sz w:val="20"/>
          <w:szCs w:val="20"/>
          <w:lang w:val="sv-SE" w:eastAsia="ko-KR"/>
        </w:rPr>
        <w:t xml:space="preserve">if T331 has already expired, </w:t>
      </w:r>
      <w:r>
        <w:rPr>
          <w:b/>
          <w:bCs w:val="0"/>
          <w:color w:val="000000"/>
          <w:kern w:val="0"/>
          <w:sz w:val="20"/>
          <w:szCs w:val="20"/>
          <w:lang w:val="sv-SE" w:eastAsia="ko-KR"/>
        </w:rPr>
        <w:t xml:space="preserve">EMR validation can be considered so that NW can know if the EMR result is useful or not. </w:t>
      </w:r>
    </w:p>
    <w:p>
      <w:pPr>
        <w:spacing w:beforeLines="0" w:after="157" w:afterLines="50"/>
        <w:rPr>
          <w:b/>
          <w:bCs w:val="0"/>
          <w:color w:val="000000"/>
          <w:lang w:val="sv-SE" w:eastAsia="ko-KR"/>
        </w:rPr>
      </w:pPr>
      <w:r>
        <w:rPr>
          <w:rFonts w:hint="eastAsia"/>
          <w:b/>
          <w:bCs/>
          <w:lang w:val="en-US" w:eastAsia="zh-CN"/>
        </w:rPr>
        <w:t xml:space="preserve">Proposal 3: </w:t>
      </w:r>
      <w:r>
        <w:rPr>
          <w:b/>
          <w:bCs w:val="0"/>
          <w:color w:val="000000"/>
          <w:lang w:val="sv-SE" w:eastAsia="ko-KR"/>
        </w:rPr>
        <w:t xml:space="preserve">‘Available’ means that there have results stored in the memory after UE finished early measurement. And the ‘valid’ early measurement result can be assessed by determining whether the measurement was taken during the last [X] seconds before the enhanced measurements perform. </w:t>
      </w:r>
    </w:p>
    <w:p>
      <w:pPr>
        <w:spacing w:before="0" w:beforeLines="0" w:after="157" w:afterLines="50"/>
      </w:pPr>
      <w:r>
        <w:rPr>
          <w:rFonts w:cstheme="minorHAnsi"/>
          <w:b/>
          <w:lang w:eastAsia="zh-CN"/>
        </w:rPr>
        <w:t xml:space="preserve">Proposal </w:t>
      </w:r>
      <w:r>
        <w:rPr>
          <w:rFonts w:hint="eastAsia" w:cstheme="minorHAnsi"/>
          <w:b/>
          <w:lang w:val="en-US" w:eastAsia="zh-CN"/>
        </w:rPr>
        <w:t>4</w:t>
      </w:r>
      <w:r>
        <w:rPr>
          <w:rFonts w:cstheme="minorHAnsi"/>
          <w:b/>
          <w:lang w:eastAsia="zh-CN"/>
        </w:rPr>
        <w:t>: The normative work should focus on</w:t>
      </w:r>
      <w:r>
        <w:rPr>
          <w:rFonts w:hint="eastAsia" w:cstheme="minorHAnsi"/>
          <w:b/>
          <w:lang w:val="en-US" w:eastAsia="zh-CN"/>
        </w:rPr>
        <w:t xml:space="preserve"> </w:t>
      </w:r>
      <w:r>
        <w:rPr>
          <w:rFonts w:cstheme="minorHAnsi"/>
          <w:b/>
          <w:lang w:val="en-GB" w:eastAsia="zh-CN"/>
        </w:rPr>
        <w:t>FR1 + FR2 CA/DC</w:t>
      </w:r>
      <w:r>
        <w:rPr>
          <w:rFonts w:hint="eastAsia" w:cstheme="minorHAnsi"/>
          <w:b/>
          <w:lang w:val="en-US" w:eastAsia="zh-CN"/>
        </w:rPr>
        <w:t xml:space="preserve"> </w:t>
      </w:r>
      <w:r>
        <w:rPr>
          <w:rFonts w:cstheme="minorHAnsi"/>
          <w:b/>
          <w:lang w:eastAsia="zh-CN"/>
        </w:rPr>
        <w:t>scenario</w:t>
      </w:r>
      <w:r>
        <w:rPr>
          <w:rFonts w:hint="eastAsia" w:cstheme="minorHAnsi"/>
          <w:b/>
          <w:lang w:val="en-US" w:eastAsia="zh-CN"/>
        </w:rPr>
        <w:t>.</w:t>
      </w:r>
      <w:r>
        <w:rPr>
          <w:rFonts w:cstheme="minorHAnsi"/>
          <w:b/>
          <w:lang w:eastAsia="zh-CN"/>
        </w:rPr>
        <w:t xml:space="preserve"> </w:t>
      </w:r>
    </w:p>
    <w:p>
      <w:pPr>
        <w:pStyle w:val="53"/>
        <w:tabs>
          <w:tab w:val="left" w:pos="567"/>
          <w:tab w:val="clear" w:pos="1985"/>
        </w:tabs>
        <w:adjustRightInd w:val="0"/>
        <w:ind w:left="510" w:hanging="510"/>
      </w:pPr>
      <w:r>
        <w:t>References</w:t>
      </w:r>
    </w:p>
    <w:p>
      <w:pPr>
        <w:pStyle w:val="51"/>
        <w:numPr>
          <w:ilvl w:val="0"/>
          <w:numId w:val="4"/>
        </w:numPr>
        <w:rPr>
          <w:rFonts w:hint="default"/>
          <w:lang w:val="en-US" w:eastAsia="zh-CN"/>
        </w:rPr>
      </w:pPr>
      <w:r>
        <w:rPr>
          <w:rFonts w:hint="default"/>
        </w:rPr>
        <w:t>R4-2220415</w:t>
      </w:r>
      <w:r>
        <w:rPr>
          <w:rFonts w:hint="default"/>
          <w:lang w:val="en-US" w:eastAsia="zh-CN"/>
        </w:rPr>
        <w:t xml:space="preserve">,WF on </w:t>
      </w:r>
      <w:r>
        <w:rPr>
          <w:rFonts w:hint="default"/>
          <w:lang w:eastAsia="zh-CN"/>
        </w:rPr>
        <w:t>improvement on FR2 SCell/SCG setup/resume</w:t>
      </w:r>
      <w:r>
        <w:rPr>
          <w:rFonts w:hint="default"/>
          <w:lang w:val="en-US" w:eastAsia="zh-CN"/>
        </w:rPr>
        <w:t>,</w:t>
      </w:r>
      <w:r>
        <w:rPr>
          <w:rFonts w:hint="default"/>
          <w:lang w:eastAsia="zh-CN"/>
        </w:rPr>
        <w:t>Apple, MediaTek Inc.</w:t>
      </w:r>
    </w:p>
    <w:p>
      <w:pPr>
        <w:pStyle w:val="51"/>
        <w:numPr>
          <w:ilvl w:val="0"/>
          <w:numId w:val="4"/>
        </w:numPr>
        <w:rPr>
          <w:rFonts w:hint="default"/>
          <w:lang w:val="en-US" w:eastAsia="zh-CN"/>
        </w:rPr>
      </w:pPr>
      <w:r>
        <w:rPr>
          <w:rFonts w:hint="default"/>
          <w:lang w:val="en-US" w:eastAsia="zh-CN"/>
        </w:rPr>
        <w:t>R4-2218796, Discussion on the improvement on FR2 SCell/SCG setup/resume, vivo</w:t>
      </w:r>
    </w:p>
    <w:p>
      <w:pPr>
        <w:pStyle w:val="51"/>
        <w:numPr>
          <w:ilvl w:val="0"/>
          <w:numId w:val="4"/>
        </w:numPr>
        <w:rPr>
          <w:rFonts w:hint="default"/>
          <w:lang w:val="en-US" w:eastAsia="zh-CN"/>
        </w:rPr>
      </w:pPr>
      <w:r>
        <w:rPr>
          <w:rFonts w:hint="eastAsia"/>
          <w:lang w:val="en-US" w:eastAsia="zh-CN"/>
        </w:rPr>
        <w:t>RP-222332, Revised WID on Further NR mobility enhancements, Media Tek Inc.</w:t>
      </w:r>
    </w:p>
    <w:p>
      <w:pPr>
        <w:pStyle w:val="51"/>
        <w:numPr>
          <w:ilvl w:val="0"/>
          <w:numId w:val="4"/>
        </w:numPr>
        <w:rPr>
          <w:rFonts w:hint="default"/>
          <w:lang w:val="en-US" w:eastAsia="zh-CN"/>
        </w:rPr>
      </w:pPr>
      <w:r>
        <w:rPr>
          <w:rFonts w:hint="default"/>
          <w:lang w:eastAsia="zh-CN"/>
        </w:rPr>
        <w:t>R4-2218728</w:t>
      </w:r>
      <w:r>
        <w:rPr>
          <w:rFonts w:hint="default"/>
          <w:lang w:val="en-US" w:eastAsia="zh-CN"/>
        </w:rPr>
        <w:t>,</w:t>
      </w:r>
      <w:r>
        <w:rPr>
          <w:rFonts w:hint="default"/>
          <w:lang w:eastAsia="zh-CN"/>
        </w:rPr>
        <w:t>Discussion on improvement on FR2 SCell/SCG setup/resume</w:t>
      </w:r>
      <w:r>
        <w:rPr>
          <w:rFonts w:hint="default"/>
          <w:lang w:val="en-US" w:eastAsia="zh-CN"/>
        </w:rPr>
        <w:t>,</w:t>
      </w:r>
      <w:r>
        <w:rPr>
          <w:rFonts w:hint="default"/>
          <w:lang w:eastAsia="zh-CN"/>
        </w:rPr>
        <w:t>MediaTek Inc.</w:t>
      </w:r>
    </w:p>
    <w:p>
      <w:pPr>
        <w:pStyle w:val="19"/>
        <w:shd w:val="clear" w:color="auto" w:fill="FFFFFF"/>
        <w:spacing w:before="60" w:beforeAutospacing="0" w:after="0" w:afterAutospacing="0" w:line="300" w:lineRule="atLeast"/>
        <w:rPr>
          <w:rStyle w:val="26"/>
          <w:rFonts w:hint="eastAsia" w:ascii="Times New Roman" w:hAnsi="Times New Roman" w:eastAsia="宋体" w:cs="Times New Roman"/>
          <w:color w:val="auto"/>
          <w:sz w:val="21"/>
          <w:szCs w:val="21"/>
          <w:shd w:val="clear" w:color="auto" w:fill="FFFFFF"/>
          <w:lang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94E1AF4"/>
    <w:multiLevelType w:val="multilevel"/>
    <w:tmpl w:val="394E1AF4"/>
    <w:lvl w:ilvl="0" w:tentative="0">
      <w:start w:val="1"/>
      <w:numFmt w:val="bullet"/>
      <w:lvlText w:val="o"/>
      <w:lvlJc w:val="left"/>
      <w:pPr>
        <w:ind w:left="720" w:hanging="360"/>
      </w:pPr>
      <w:rPr>
        <w:rFonts w:hint="default" w:ascii="Courier New" w:hAnsi="Courier New" w:cs="Times New Roman"/>
      </w:rPr>
    </w:lvl>
    <w:lvl w:ilvl="1" w:tentative="0">
      <w:start w:val="1"/>
      <w:numFmt w:val="bullet"/>
      <w:lvlText w:val="o"/>
      <w:lvlJc w:val="left"/>
      <w:pPr>
        <w:ind w:left="1200" w:hanging="420"/>
      </w:pPr>
      <w:rPr>
        <w:rFonts w:hint="default" w:ascii="Courier New" w:hAnsi="Courier New" w:cs="Times New Roman"/>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51C403C4"/>
    <w:multiLevelType w:val="multilevel"/>
    <w:tmpl w:val="51C403C4"/>
    <w:lvl w:ilvl="0" w:tentative="0">
      <w:start w:val="1"/>
      <w:numFmt w:val="decimal"/>
      <w:lvlText w:val="%1."/>
      <w:lvlJc w:val="left"/>
      <w:pPr>
        <w:ind w:left="720" w:hanging="360"/>
      </w:pPr>
    </w:lvl>
    <w:lvl w:ilvl="1" w:tentative="0">
      <w:start w:val="1"/>
      <w:numFmt w:val="bullet"/>
      <w:lvlText w:val="o"/>
      <w:lvlJc w:val="left"/>
      <w:pPr>
        <w:ind w:left="1200" w:hanging="420"/>
      </w:pPr>
      <w:rPr>
        <w:rFonts w:hint="default" w:ascii="Courier New" w:hAnsi="Courier New" w:cs="Times New Roman"/>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B21918"/>
    <w:rsid w:val="08B40442"/>
    <w:rsid w:val="08B94847"/>
    <w:rsid w:val="08C14001"/>
    <w:rsid w:val="08D7362B"/>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5E"/>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34AA0"/>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967964"/>
    <w:rsid w:val="53A106E5"/>
    <w:rsid w:val="53A13A19"/>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4F355F5"/>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6F80F60"/>
    <w:rsid w:val="67066C06"/>
    <w:rsid w:val="670E7B80"/>
    <w:rsid w:val="6713591F"/>
    <w:rsid w:val="67181932"/>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page number"/>
    <w:basedOn w:val="23"/>
    <w:semiHidden/>
    <w:qFormat/>
    <w:uiPriority w:val="0"/>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标题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标题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标题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题注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basedOn w:val="23"/>
    <w:link w:val="34"/>
    <w:qFormat/>
    <w:uiPriority w:val="0"/>
    <w:rPr>
      <w:rFonts w:ascii="Arial" w:hAnsi="Arial" w:eastAsia="Times New Roman" w:cs="Times New Roman"/>
      <w:kern w:val="0"/>
      <w:sz w:val="18"/>
      <w:szCs w:val="20"/>
      <w:lang w:val="en-GB" w:eastAsia="ja-JP"/>
    </w:rPr>
  </w:style>
  <w:style w:type="character" w:customStyle="1" w:styleId="74">
    <w:name w:val="标题 4 Char"/>
    <w:link w:val="5"/>
    <w:qFormat/>
    <w:uiPriority w:val="0"/>
    <w:rPr>
      <w:rFonts w:ascii="Arial" w:hAnsi="Arial" w:eastAsia="宋体"/>
      <w:sz w:val="24"/>
      <w:lang w:val="en-GB" w:eastAsia="en-US"/>
    </w:rPr>
  </w:style>
  <w:style w:type="character" w:customStyle="1" w:styleId="75">
    <w:name w:val="批注框文本 Char"/>
    <w:link w:val="15"/>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页眉 Char"/>
    <w:link w:val="17"/>
    <w:qFormat/>
    <w:uiPriority w:val="99"/>
    <w:rPr>
      <w:sz w:val="18"/>
      <w:szCs w:val="18"/>
    </w:rPr>
  </w:style>
  <w:style w:type="character" w:customStyle="1" w:styleId="78">
    <w:name w:val="文档结构图 Char"/>
    <w:link w:val="12"/>
    <w:semiHidden/>
    <w:qFormat/>
    <w:uiPriority w:val="99"/>
    <w:rPr>
      <w:rFonts w:ascii="宋体" w:eastAsia="宋体"/>
      <w:sz w:val="18"/>
      <w:szCs w:val="18"/>
    </w:rPr>
  </w:style>
  <w:style w:type="character" w:customStyle="1" w:styleId="79">
    <w:name w:val="标题 7 Char"/>
    <w:link w:val="8"/>
    <w:qFormat/>
    <w:uiPriority w:val="0"/>
    <w:rPr>
      <w:rFonts w:ascii="Arial" w:hAnsi="Arial" w:eastAsia="宋体"/>
      <w:lang w:val="en-GB" w:eastAsia="en-US"/>
    </w:rPr>
  </w:style>
  <w:style w:type="character" w:customStyle="1" w:styleId="80">
    <w:name w:val="标题 1 Char"/>
    <w:link w:val="2"/>
    <w:qFormat/>
    <w:uiPriority w:val="9"/>
    <w:rPr>
      <w:rFonts w:ascii="Cambria" w:hAnsi="Cambria" w:eastAsia="宋体" w:cs="Times New Roman"/>
      <w:b/>
      <w:bCs/>
      <w:kern w:val="32"/>
      <w:sz w:val="32"/>
      <w:szCs w:val="32"/>
      <w:lang w:val="en-US"/>
    </w:rPr>
  </w:style>
  <w:style w:type="character" w:customStyle="1" w:styleId="81">
    <w:name w:val="页脚 Char"/>
    <w:link w:val="16"/>
    <w:qFormat/>
    <w:uiPriority w:val="99"/>
    <w:rPr>
      <w:sz w:val="18"/>
      <w:szCs w:val="18"/>
    </w:rPr>
  </w:style>
  <w:style w:type="character" w:customStyle="1" w:styleId="82">
    <w:name w:val="批注主题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标题 2 Char"/>
    <w:link w:val="3"/>
    <w:qFormat/>
    <w:uiPriority w:val="0"/>
    <w:rPr>
      <w:rFonts w:ascii="Arial" w:hAnsi="Arial"/>
      <w:sz w:val="32"/>
      <w:lang w:eastAsia="en-US"/>
    </w:rPr>
  </w:style>
  <w:style w:type="character" w:customStyle="1" w:styleId="85">
    <w:name w:val="标题 5 Char"/>
    <w:link w:val="6"/>
    <w:qFormat/>
    <w:uiPriority w:val="0"/>
    <w:rPr>
      <w:rFonts w:ascii="Arial" w:hAnsi="Arial" w:eastAsia="宋体"/>
      <w:sz w:val="22"/>
      <w:lang w:val="en-GB" w:eastAsia="en-US"/>
    </w:rPr>
  </w:style>
  <w:style w:type="character" w:customStyle="1" w:styleId="86">
    <w:name w:val="标题 3 Char"/>
    <w:link w:val="4"/>
    <w:qFormat/>
    <w:uiPriority w:val="0"/>
    <w:rPr>
      <w:rFonts w:ascii="Arial" w:hAnsi="Arial"/>
      <w:sz w:val="28"/>
      <w:lang w:eastAsia="en-US"/>
    </w:rPr>
  </w:style>
  <w:style w:type="character" w:customStyle="1" w:styleId="87">
    <w:name w:val="批注文字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 Normal Text"/>
    <w:basedOn w:val="14"/>
    <w:qFormat/>
    <w:uiPriority w:val="0"/>
    <w:pPr>
      <w:spacing w:after="120"/>
      <w:ind w:left="1440" w:hanging="1440"/>
      <w:jc w:val="both"/>
    </w:pPr>
    <w:rPr>
      <w:rFonts w:eastAsia="MS Mincho"/>
      <w:sz w:val="22"/>
      <w:szCs w:val="24"/>
    </w:rPr>
  </w:style>
  <w:style w:type="paragraph" w:customStyle="1" w:styleId="91">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5</TotalTime>
  <ScaleCrop>false</ScaleCrop>
  <LinksUpToDate>false</LinksUpToDate>
  <CharactersWithSpaces>13626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2023-02-17T07:53:55Z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